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735D" w14:textId="77777777" w:rsidR="002A65E2" w:rsidRDefault="002A65E2" w:rsidP="00037C38">
      <w:pPr>
        <w:spacing w:after="0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872F4" wp14:editId="4C8EBE86">
                <wp:simplePos x="0" y="0"/>
                <wp:positionH relativeFrom="column">
                  <wp:posOffset>-260350</wp:posOffset>
                </wp:positionH>
                <wp:positionV relativeFrom="paragraph">
                  <wp:posOffset>-673100</wp:posOffset>
                </wp:positionV>
                <wp:extent cx="6343650" cy="21590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E8D45" w14:textId="77777777" w:rsidR="002A65E2" w:rsidRDefault="002A65E2">
                            <w:r>
                              <w:t>How to use this resource:</w:t>
                            </w:r>
                          </w:p>
                          <w:p w14:paraId="7A3E3AB3" w14:textId="77777777" w:rsidR="002A65E2" w:rsidRDefault="002A65E2">
                            <w:r>
                              <w:t>This resource is part of a series on working as allies.  It is intended as discussion starter for groups or a think piece for individuals interested in this topic.  You may wish to use the following questions when discussing/reflecting on this material.</w:t>
                            </w:r>
                          </w:p>
                          <w:p w14:paraId="405ECC6E" w14:textId="77777777" w:rsidR="002A65E2" w:rsidRDefault="002A65E2" w:rsidP="002A65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resonates with your experience?</w:t>
                            </w:r>
                          </w:p>
                          <w:p w14:paraId="0FD564EA" w14:textId="77777777" w:rsidR="002A65E2" w:rsidRDefault="002A65E2" w:rsidP="002A65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Which points do you not agree with? Why?</w:t>
                            </w:r>
                          </w:p>
                          <w:p w14:paraId="088D2D64" w14:textId="77777777" w:rsidR="002A65E2" w:rsidRDefault="002A65E2" w:rsidP="002A65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Which points do </w:t>
                            </w:r>
                            <w:r w:rsidR="0005374C">
                              <w:t>n</w:t>
                            </w:r>
                            <w:r>
                              <w:t>ot make sense to you?</w:t>
                            </w:r>
                          </w:p>
                          <w:p w14:paraId="2B131AA3" w14:textId="77777777" w:rsidR="002A65E2" w:rsidRDefault="002A65E2" w:rsidP="002A65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missing?</w:t>
                            </w:r>
                          </w:p>
                          <w:p w14:paraId="16F1B9BB" w14:textId="77777777" w:rsidR="0005374C" w:rsidRDefault="0005374C" w:rsidP="0005374C">
                            <w:r>
                              <w:t>Other resources in this series are available at https://awea.org.nz/allies_resources</w:t>
                            </w:r>
                          </w:p>
                          <w:p w14:paraId="526EFE98" w14:textId="77777777" w:rsidR="002A65E2" w:rsidRDefault="002A65E2" w:rsidP="002A65E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872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5pt;margin-top:-53pt;width:499.5pt;height:1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" fillcolor="white [3201]" strokeweight=".5pt">
                <v:textbox>
                  <w:txbxContent>
                    <w:p w14:paraId="05BE8D45" w14:textId="77777777" w:rsidR="002A65E2" w:rsidRDefault="002A65E2">
                      <w:r>
                        <w:t>How to use this resource:</w:t>
                      </w:r>
                    </w:p>
                    <w:p w14:paraId="7A3E3AB3" w14:textId="77777777" w:rsidR="002A65E2" w:rsidRDefault="002A65E2">
                      <w:r>
                        <w:t>This resource is part of a series on working as allies.  It is intended as discussion starter for groups or a think piece for individuals interested in this topic.  You may wish to use the following questions when discussing/reflecting on this material.</w:t>
                      </w:r>
                    </w:p>
                    <w:p w14:paraId="405ECC6E" w14:textId="77777777" w:rsidR="002A65E2" w:rsidRDefault="002A65E2" w:rsidP="002A65E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resonates with your experience?</w:t>
                      </w:r>
                    </w:p>
                    <w:p w14:paraId="0FD564EA" w14:textId="77777777" w:rsidR="002A65E2" w:rsidRDefault="002A65E2" w:rsidP="002A65E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Which points do you not agree with? Why?</w:t>
                      </w:r>
                    </w:p>
                    <w:p w14:paraId="088D2D64" w14:textId="77777777" w:rsidR="002A65E2" w:rsidRDefault="002A65E2" w:rsidP="002A65E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Which points do </w:t>
                      </w:r>
                      <w:r w:rsidR="0005374C">
                        <w:t>n</w:t>
                      </w:r>
                      <w:r>
                        <w:t>ot make sense to you?</w:t>
                      </w:r>
                    </w:p>
                    <w:p w14:paraId="2B131AA3" w14:textId="77777777" w:rsidR="002A65E2" w:rsidRDefault="002A65E2" w:rsidP="002A65E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missing?</w:t>
                      </w:r>
                    </w:p>
                    <w:p w14:paraId="16F1B9BB" w14:textId="77777777" w:rsidR="0005374C" w:rsidRDefault="0005374C" w:rsidP="0005374C">
                      <w:r>
                        <w:t>Other resources in this series are available at https://awea.org.nz/allies_resources</w:t>
                      </w:r>
                    </w:p>
                    <w:p w14:paraId="526EFE98" w14:textId="77777777" w:rsidR="002A65E2" w:rsidRDefault="002A65E2" w:rsidP="002A65E2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4F0FA707" w14:textId="77777777" w:rsidR="002A65E2" w:rsidRDefault="002A65E2" w:rsidP="00037C38">
      <w:pPr>
        <w:spacing w:after="0"/>
      </w:pPr>
    </w:p>
    <w:p w14:paraId="26879548" w14:textId="77777777" w:rsidR="00864BE2" w:rsidRDefault="00864BE2" w:rsidP="00037C38">
      <w:pPr>
        <w:spacing w:after="0"/>
      </w:pPr>
    </w:p>
    <w:p w14:paraId="3A76A78D" w14:textId="77777777" w:rsidR="002A65E2" w:rsidRDefault="002A65E2" w:rsidP="00037C38">
      <w:pPr>
        <w:spacing w:after="0"/>
      </w:pPr>
    </w:p>
    <w:p w14:paraId="75068F21" w14:textId="77777777" w:rsidR="002A65E2" w:rsidRDefault="002A65E2" w:rsidP="00037C38">
      <w:pPr>
        <w:spacing w:after="0"/>
      </w:pPr>
    </w:p>
    <w:p w14:paraId="17ADED10" w14:textId="77777777" w:rsidR="002A65E2" w:rsidRDefault="002A65E2" w:rsidP="00037C38">
      <w:pPr>
        <w:spacing w:after="0"/>
      </w:pPr>
    </w:p>
    <w:p w14:paraId="066C2CE6" w14:textId="77777777" w:rsidR="002A65E2" w:rsidRDefault="002A65E2" w:rsidP="00037C38">
      <w:pPr>
        <w:spacing w:after="0"/>
      </w:pPr>
    </w:p>
    <w:p w14:paraId="7F031BDD" w14:textId="77777777" w:rsidR="00037C38" w:rsidRDefault="00037C38" w:rsidP="00037C38">
      <w:pPr>
        <w:spacing w:after="0"/>
        <w:jc w:val="center"/>
        <w:rPr>
          <w:b/>
          <w:sz w:val="32"/>
          <w:szCs w:val="32"/>
        </w:rPr>
      </w:pPr>
    </w:p>
    <w:p w14:paraId="3550E2D9" w14:textId="77777777" w:rsidR="002A65E2" w:rsidRPr="00362499" w:rsidRDefault="002A65E2" w:rsidP="00362499">
      <w:pPr>
        <w:spacing w:after="0" w:line="283" w:lineRule="auto"/>
        <w:jc w:val="center"/>
        <w:rPr>
          <w:rFonts w:ascii="Calibri" w:hAnsi="Calibri" w:cs="Calibri"/>
          <w:b/>
          <w:sz w:val="32"/>
          <w:szCs w:val="32"/>
        </w:rPr>
      </w:pPr>
      <w:r w:rsidRPr="00362499">
        <w:rPr>
          <w:rFonts w:ascii="Calibri" w:hAnsi="Calibri" w:cs="Calibri"/>
          <w:b/>
          <w:sz w:val="32"/>
          <w:szCs w:val="32"/>
        </w:rPr>
        <w:t>Qualities for being an ally</w:t>
      </w:r>
    </w:p>
    <w:p w14:paraId="7B1B7885" w14:textId="77777777" w:rsidR="00037C38" w:rsidRPr="00037C38" w:rsidRDefault="00037C38" w:rsidP="00362499">
      <w:pPr>
        <w:spacing w:after="0" w:line="283" w:lineRule="auto"/>
        <w:jc w:val="center"/>
        <w:rPr>
          <w:b/>
        </w:rPr>
      </w:pPr>
    </w:p>
    <w:p w14:paraId="67EB706A" w14:textId="77777777" w:rsidR="002A65E2" w:rsidRDefault="002A65E2" w:rsidP="00362499">
      <w:pPr>
        <w:pStyle w:val="ListParagraph"/>
        <w:numPr>
          <w:ilvl w:val="0"/>
          <w:numId w:val="2"/>
        </w:numPr>
        <w:spacing w:after="0" w:line="283" w:lineRule="auto"/>
      </w:pPr>
      <w:r>
        <w:t xml:space="preserve">Humility – </w:t>
      </w:r>
      <w:r w:rsidRPr="00875A13">
        <w:rPr>
          <w:i/>
        </w:rPr>
        <w:t>being passionately aware that you could be completely wrong.</w:t>
      </w:r>
    </w:p>
    <w:p w14:paraId="4E447424" w14:textId="77777777" w:rsidR="002A65E2" w:rsidRDefault="002A65E2" w:rsidP="00362499">
      <w:pPr>
        <w:pStyle w:val="ListParagraph"/>
        <w:numPr>
          <w:ilvl w:val="0"/>
          <w:numId w:val="2"/>
        </w:numPr>
        <w:spacing w:after="0" w:line="283" w:lineRule="auto"/>
      </w:pPr>
      <w:r>
        <w:t>Ability to listen carefully.</w:t>
      </w:r>
    </w:p>
    <w:p w14:paraId="3328568E" w14:textId="77777777" w:rsidR="002A65E2" w:rsidRDefault="002A65E2" w:rsidP="00362499">
      <w:pPr>
        <w:pStyle w:val="ListParagraph"/>
        <w:numPr>
          <w:ilvl w:val="0"/>
          <w:numId w:val="2"/>
        </w:numPr>
        <w:spacing w:after="0" w:line="283" w:lineRule="auto"/>
      </w:pPr>
      <w:r>
        <w:t xml:space="preserve">Sense of humour – </w:t>
      </w:r>
      <w:r w:rsidRPr="00875A13">
        <w:rPr>
          <w:i/>
        </w:rPr>
        <w:t>not taking yourself too seriously.</w:t>
      </w:r>
    </w:p>
    <w:p w14:paraId="2D8D5862" w14:textId="77777777" w:rsidR="002A65E2" w:rsidRDefault="002A65E2" w:rsidP="00362499">
      <w:pPr>
        <w:pStyle w:val="ListParagraph"/>
        <w:numPr>
          <w:ilvl w:val="0"/>
          <w:numId w:val="2"/>
        </w:numPr>
        <w:spacing w:after="0" w:line="283" w:lineRule="auto"/>
      </w:pPr>
      <w:r>
        <w:t xml:space="preserve">Patience – </w:t>
      </w:r>
      <w:r w:rsidRPr="00875A13">
        <w:rPr>
          <w:i/>
        </w:rPr>
        <w:t>for the long haul of the struggle and for different ways of working.</w:t>
      </w:r>
    </w:p>
    <w:p w14:paraId="2284766E" w14:textId="77777777" w:rsidR="002A65E2" w:rsidRPr="00875A13" w:rsidRDefault="002A65E2" w:rsidP="00362499">
      <w:pPr>
        <w:pStyle w:val="ListParagraph"/>
        <w:numPr>
          <w:ilvl w:val="0"/>
          <w:numId w:val="2"/>
        </w:numPr>
        <w:spacing w:after="0" w:line="283" w:lineRule="auto"/>
        <w:rPr>
          <w:i/>
        </w:rPr>
      </w:pPr>
      <w:r>
        <w:t xml:space="preserve">Usefulness – </w:t>
      </w:r>
      <w:r w:rsidRPr="00875A13">
        <w:rPr>
          <w:i/>
        </w:rPr>
        <w:t>it’s not about being right or good it’s about being useful.</w:t>
      </w:r>
    </w:p>
    <w:p w14:paraId="4EC010BC" w14:textId="77777777" w:rsidR="002A65E2" w:rsidRDefault="002A65E2" w:rsidP="00362499">
      <w:pPr>
        <w:pStyle w:val="ListParagraph"/>
        <w:numPr>
          <w:ilvl w:val="0"/>
          <w:numId w:val="2"/>
        </w:numPr>
        <w:spacing w:after="0" w:line="283" w:lineRule="auto"/>
      </w:pPr>
      <w:r>
        <w:t xml:space="preserve">Knowing yourself – </w:t>
      </w:r>
      <w:r w:rsidRPr="00875A13">
        <w:rPr>
          <w:i/>
        </w:rPr>
        <w:t>your identity and history.</w:t>
      </w:r>
    </w:p>
    <w:p w14:paraId="394ECDAB" w14:textId="77777777" w:rsidR="002A65E2" w:rsidRDefault="002A65E2" w:rsidP="00362499">
      <w:pPr>
        <w:pStyle w:val="ListParagraph"/>
        <w:numPr>
          <w:ilvl w:val="0"/>
          <w:numId w:val="2"/>
        </w:numPr>
        <w:spacing w:after="0" w:line="283" w:lineRule="auto"/>
      </w:pPr>
      <w:r>
        <w:t xml:space="preserve">Knowing and acknowledging whose land you are on – </w:t>
      </w:r>
      <w:r w:rsidRPr="00875A13">
        <w:rPr>
          <w:i/>
        </w:rPr>
        <w:t>the history of people and place.</w:t>
      </w:r>
    </w:p>
    <w:p w14:paraId="1F34FD01" w14:textId="77777777" w:rsidR="002A65E2" w:rsidRDefault="002A65E2" w:rsidP="00362499">
      <w:pPr>
        <w:pStyle w:val="ListParagraph"/>
        <w:numPr>
          <w:ilvl w:val="0"/>
          <w:numId w:val="2"/>
        </w:numPr>
        <w:spacing w:after="0" w:line="283" w:lineRule="auto"/>
      </w:pPr>
      <w:proofErr w:type="spellStart"/>
      <w:r>
        <w:t>Groundedness</w:t>
      </w:r>
      <w:proofErr w:type="spellEnd"/>
      <w:r>
        <w:t xml:space="preserve"> – </w:t>
      </w:r>
      <w:r w:rsidRPr="00875A13">
        <w:rPr>
          <w:i/>
        </w:rPr>
        <w:t>inner strength and the ability to stay calm in challenging situations.</w:t>
      </w:r>
    </w:p>
    <w:p w14:paraId="4EDAC7B5" w14:textId="77777777" w:rsidR="002A65E2" w:rsidRDefault="002A65E2" w:rsidP="00362499">
      <w:pPr>
        <w:pStyle w:val="ListParagraph"/>
        <w:numPr>
          <w:ilvl w:val="0"/>
          <w:numId w:val="2"/>
        </w:numPr>
        <w:spacing w:after="0" w:line="283" w:lineRule="auto"/>
      </w:pPr>
      <w:r>
        <w:t xml:space="preserve">A thick skin – </w:t>
      </w:r>
      <w:r w:rsidRPr="00875A13">
        <w:rPr>
          <w:i/>
        </w:rPr>
        <w:t>the ability to hear criticism constructively.  Understanding criticism within the broader context of colonial injustice rather than taking</w:t>
      </w:r>
      <w:r w:rsidR="00875A13" w:rsidRPr="00875A13">
        <w:rPr>
          <w:i/>
        </w:rPr>
        <w:t xml:space="preserve"> it personally.  An understanding that you may be a safe target for understandable rage – develop the ability to hear that rage.</w:t>
      </w:r>
    </w:p>
    <w:p w14:paraId="3A2C5B5F" w14:textId="77777777" w:rsidR="00875A13" w:rsidRDefault="00875A13" w:rsidP="00362499">
      <w:pPr>
        <w:pStyle w:val="ListParagraph"/>
        <w:numPr>
          <w:ilvl w:val="0"/>
          <w:numId w:val="2"/>
        </w:numPr>
        <w:spacing w:after="0" w:line="283" w:lineRule="auto"/>
      </w:pPr>
      <w:r>
        <w:t xml:space="preserve">Endurance – </w:t>
      </w:r>
      <w:r w:rsidRPr="00875A13">
        <w:rPr>
          <w:i/>
        </w:rPr>
        <w:t>messing up, learning, picking up and keeping on.</w:t>
      </w:r>
    </w:p>
    <w:p w14:paraId="52BA2593" w14:textId="77777777" w:rsidR="00875A13" w:rsidRDefault="00875A13" w:rsidP="00362499">
      <w:pPr>
        <w:pStyle w:val="ListParagraph"/>
        <w:numPr>
          <w:ilvl w:val="0"/>
          <w:numId w:val="2"/>
        </w:numPr>
        <w:spacing w:after="0" w:line="283" w:lineRule="auto"/>
      </w:pPr>
      <w:r>
        <w:t xml:space="preserve">Long-term commitment – </w:t>
      </w:r>
      <w:r w:rsidRPr="00875A13">
        <w:rPr>
          <w:i/>
        </w:rPr>
        <w:t>which includes a commitment to personal sustainability and sustainability of relationships.</w:t>
      </w:r>
    </w:p>
    <w:p w14:paraId="4A405EFB" w14:textId="77777777" w:rsidR="00875A13" w:rsidRDefault="00875A13" w:rsidP="00362499">
      <w:pPr>
        <w:pStyle w:val="ListParagraph"/>
        <w:numPr>
          <w:ilvl w:val="0"/>
          <w:numId w:val="2"/>
        </w:numPr>
        <w:spacing w:after="0" w:line="283" w:lineRule="auto"/>
      </w:pPr>
      <w:r>
        <w:t xml:space="preserve">Flexibility – </w:t>
      </w:r>
      <w:r w:rsidRPr="00875A13">
        <w:rPr>
          <w:i/>
        </w:rPr>
        <w:t>an ability to go with the flow.</w:t>
      </w:r>
    </w:p>
    <w:p w14:paraId="22889036" w14:textId="77777777" w:rsidR="00875A13" w:rsidRPr="00875A13" w:rsidRDefault="00875A13" w:rsidP="00362499">
      <w:pPr>
        <w:pStyle w:val="ListParagraph"/>
        <w:numPr>
          <w:ilvl w:val="0"/>
          <w:numId w:val="2"/>
        </w:numPr>
        <w:spacing w:after="0" w:line="283" w:lineRule="auto"/>
        <w:rPr>
          <w:i/>
        </w:rPr>
      </w:pPr>
      <w:r>
        <w:t xml:space="preserve">Letting go of knowing, of being right, of having the answers – </w:t>
      </w:r>
      <w:r w:rsidRPr="00875A13">
        <w:rPr>
          <w:i/>
        </w:rPr>
        <w:t>always being aware of much you do not know.</w:t>
      </w:r>
    </w:p>
    <w:p w14:paraId="6C1136F7" w14:textId="77777777" w:rsidR="00875A13" w:rsidRDefault="00875A13" w:rsidP="00362499">
      <w:pPr>
        <w:pStyle w:val="ListParagraph"/>
        <w:numPr>
          <w:ilvl w:val="0"/>
          <w:numId w:val="2"/>
        </w:numPr>
        <w:spacing w:after="0" w:line="283" w:lineRule="auto"/>
      </w:pPr>
      <w:r>
        <w:t xml:space="preserve">Being open to constant learning – </w:t>
      </w:r>
      <w:r w:rsidRPr="00037C38">
        <w:rPr>
          <w:i/>
        </w:rPr>
        <w:t>acting, making mistakes, getting feedback, reflecting, acting.  Check your ideas with people who do not always agree with you.</w:t>
      </w:r>
    </w:p>
    <w:p w14:paraId="6B768947" w14:textId="77777777" w:rsidR="00875A13" w:rsidRDefault="00875A13" w:rsidP="00362499">
      <w:pPr>
        <w:pStyle w:val="ListParagraph"/>
        <w:numPr>
          <w:ilvl w:val="0"/>
          <w:numId w:val="2"/>
        </w:numPr>
        <w:spacing w:after="0" w:line="283" w:lineRule="auto"/>
      </w:pPr>
      <w:r>
        <w:t xml:space="preserve">Courage – </w:t>
      </w:r>
      <w:r w:rsidRPr="00037C38">
        <w:rPr>
          <w:i/>
        </w:rPr>
        <w:t>to act, to take to stand.</w:t>
      </w:r>
    </w:p>
    <w:p w14:paraId="3D7D6A32" w14:textId="77777777" w:rsidR="00875A13" w:rsidRDefault="00875A13" w:rsidP="00362499">
      <w:pPr>
        <w:pStyle w:val="ListParagraph"/>
        <w:numPr>
          <w:ilvl w:val="0"/>
          <w:numId w:val="2"/>
        </w:numPr>
        <w:spacing w:after="0" w:line="283" w:lineRule="auto"/>
      </w:pPr>
      <w:r>
        <w:t xml:space="preserve">Critical awareness – </w:t>
      </w:r>
      <w:r w:rsidRPr="00037C38">
        <w:rPr>
          <w:i/>
        </w:rPr>
        <w:t>political awareness, strategic thinking.</w:t>
      </w:r>
    </w:p>
    <w:p w14:paraId="0F5FCE51" w14:textId="77777777" w:rsidR="00875A13" w:rsidRDefault="00875A13" w:rsidP="00362499">
      <w:pPr>
        <w:pStyle w:val="ListParagraph"/>
        <w:numPr>
          <w:ilvl w:val="0"/>
          <w:numId w:val="2"/>
        </w:numPr>
        <w:spacing w:after="0" w:line="283" w:lineRule="auto"/>
      </w:pPr>
      <w:r>
        <w:t xml:space="preserve">Self-awareness – </w:t>
      </w:r>
      <w:r w:rsidRPr="00037C38">
        <w:rPr>
          <w:i/>
        </w:rPr>
        <w:t>knowing your skills and what you can offer, knowing your limits, awareness of not dominating, awareness of power, ability to reflect.</w:t>
      </w:r>
    </w:p>
    <w:p w14:paraId="697ABE35" w14:textId="77777777" w:rsidR="00875A13" w:rsidRPr="00037C38" w:rsidRDefault="00875A13" w:rsidP="00362499">
      <w:pPr>
        <w:pStyle w:val="ListParagraph"/>
        <w:numPr>
          <w:ilvl w:val="0"/>
          <w:numId w:val="2"/>
        </w:numPr>
        <w:spacing w:after="0" w:line="283" w:lineRule="auto"/>
        <w:rPr>
          <w:i/>
        </w:rPr>
      </w:pPr>
      <w:r>
        <w:t xml:space="preserve">Honesty, humility, courage, wisdom, respect, generosity and love – </w:t>
      </w:r>
      <w:r w:rsidRPr="00037C38">
        <w:rPr>
          <w:i/>
        </w:rPr>
        <w:t xml:space="preserve">The </w:t>
      </w:r>
      <w:proofErr w:type="spellStart"/>
      <w:r w:rsidRPr="00037C38">
        <w:rPr>
          <w:i/>
        </w:rPr>
        <w:t>Ojibew</w:t>
      </w:r>
      <w:proofErr w:type="spellEnd"/>
      <w:r w:rsidRPr="00037C38">
        <w:rPr>
          <w:i/>
        </w:rPr>
        <w:t xml:space="preserve"> Seven Grandfather Teachings.</w:t>
      </w:r>
    </w:p>
    <w:p w14:paraId="24DFEDB8" w14:textId="77777777" w:rsidR="00875A13" w:rsidRDefault="00875A13" w:rsidP="00362499">
      <w:pPr>
        <w:spacing w:after="0" w:line="283" w:lineRule="auto"/>
      </w:pPr>
    </w:p>
    <w:p w14:paraId="3DAF65FD" w14:textId="77777777" w:rsidR="00875A13" w:rsidRDefault="00875A13" w:rsidP="00362499">
      <w:pPr>
        <w:spacing w:after="0" w:line="283" w:lineRule="auto"/>
      </w:pPr>
      <w:r>
        <w:t xml:space="preserve">Note: This is not intended as a check list of abstract concepts-these qualities need to be demonstrated through on-going action in the context of alliances. </w:t>
      </w:r>
    </w:p>
    <w:sectPr w:rsidR="00875A13" w:rsidSect="000A2449">
      <w:footerReference w:type="default" r:id="rId7"/>
      <w:pgSz w:w="12240" w:h="15840"/>
      <w:pgMar w:top="1440" w:right="1440" w:bottom="1440" w:left="144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CFD7" w14:textId="77777777" w:rsidR="00F273B3" w:rsidRDefault="00F273B3" w:rsidP="00362499">
      <w:pPr>
        <w:spacing w:after="0" w:line="240" w:lineRule="auto"/>
      </w:pPr>
      <w:r>
        <w:separator/>
      </w:r>
    </w:p>
  </w:endnote>
  <w:endnote w:type="continuationSeparator" w:id="0">
    <w:p w14:paraId="64822C0B" w14:textId="77777777" w:rsidR="00F273B3" w:rsidRDefault="00F273B3" w:rsidP="0036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Yu Gothic UI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1571" w14:textId="77777777" w:rsidR="00362499" w:rsidRPr="00736A98" w:rsidRDefault="00362499" w:rsidP="00362499">
    <w:pPr>
      <w:pStyle w:val="credit"/>
      <w:spacing w:line="240" w:lineRule="auto"/>
      <w:rPr>
        <w:rFonts w:ascii="Calibri" w:hAnsi="Calibri" w:cs="Calibri"/>
        <w:sz w:val="16"/>
        <w:szCs w:val="16"/>
        <w:lang w:val="en-US"/>
      </w:rPr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3976C9E1" wp14:editId="1D2B8B0A">
          <wp:simplePos x="0" y="0"/>
          <wp:positionH relativeFrom="column">
            <wp:posOffset>5029200</wp:posOffset>
          </wp:positionH>
          <wp:positionV relativeFrom="paragraph">
            <wp:posOffset>-485775</wp:posOffset>
          </wp:positionV>
          <wp:extent cx="1438275" cy="10191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sz w:val="16"/>
        <w:szCs w:val="16"/>
      </w:rPr>
      <w:t>2021</w:t>
    </w:r>
    <w:r w:rsidRPr="00736A98">
      <w:rPr>
        <w:rFonts w:ascii="Calibri" w:hAnsi="Calibri" w:cs="Calibri"/>
        <w:sz w:val="16"/>
        <w:szCs w:val="16"/>
      </w:rPr>
      <w:t xml:space="preserve"> </w:t>
    </w:r>
    <w:r w:rsidRPr="00736A98">
      <w:rPr>
        <w:rFonts w:ascii="Calibri" w:hAnsi="Calibri" w:cs="Calibri"/>
        <w:sz w:val="16"/>
        <w:szCs w:val="16"/>
        <w:lang w:val="en-US"/>
      </w:rPr>
      <w:t xml:space="preserve">TRC </w:t>
    </w:r>
    <w:hyperlink r:id="rId2" w:history="1">
      <w:r w:rsidRPr="00736A98">
        <w:rPr>
          <w:rFonts w:ascii="Calibri" w:hAnsi="Calibri" w:cs="Calibri"/>
          <w:color w:val="auto"/>
          <w:sz w:val="16"/>
          <w:szCs w:val="16"/>
        </w:rPr>
        <w:t>www.trc.org.nz</w:t>
      </w:r>
    </w:hyperlink>
    <w:r w:rsidRPr="00736A98">
      <w:rPr>
        <w:rFonts w:ascii="Calibri" w:hAnsi="Calibri" w:cs="Calibri"/>
        <w:color w:val="auto"/>
        <w:sz w:val="16"/>
        <w:szCs w:val="16"/>
      </w:rPr>
      <w:t xml:space="preserve">  </w:t>
    </w:r>
    <w:r w:rsidRPr="00736A98">
      <w:rPr>
        <w:rFonts w:ascii="Calibri" w:hAnsi="Calibri" w:cs="Calibri"/>
        <w:sz w:val="16"/>
        <w:szCs w:val="16"/>
      </w:rPr>
      <w:t>[?]</w:t>
    </w:r>
  </w:p>
  <w:p w14:paraId="0F2C5391" w14:textId="77777777" w:rsidR="00362499" w:rsidRPr="00736A98" w:rsidRDefault="00362499" w:rsidP="00362499">
    <w:pPr>
      <w:pStyle w:val="HeaderFooterA"/>
      <w:tabs>
        <w:tab w:val="clear" w:pos="9632"/>
        <w:tab w:val="right" w:pos="9328"/>
      </w:tabs>
      <w:rPr>
        <w:rFonts w:ascii="Calibri" w:hAnsi="Calibri" w:cs="Calibri"/>
        <w:sz w:val="16"/>
        <w:szCs w:val="16"/>
      </w:rPr>
    </w:pPr>
    <w:r w:rsidRPr="00736A98">
      <w:rPr>
        <w:rFonts w:ascii="Calibri" w:hAnsi="Calibri" w:cs="Calibri"/>
        <w:sz w:val="16"/>
        <w:szCs w:val="16"/>
      </w:rPr>
      <w:t xml:space="preserve">This work is licensed under the Creative Commons Attribution-Noncommercial-Share Alike 3.0 New Zealand License. </w:t>
    </w:r>
  </w:p>
  <w:p w14:paraId="328E880A" w14:textId="77777777" w:rsidR="00362499" w:rsidRDefault="00362499" w:rsidP="00362499">
    <w:pPr>
      <w:pStyle w:val="Footer"/>
    </w:pPr>
    <w:r w:rsidRPr="0087747A">
      <w:rPr>
        <w:noProof/>
        <w:color w:val="FF0000"/>
        <w:lang w:eastAsia="en-NZ"/>
      </w:rPr>
      <w:drawing>
        <wp:anchor distT="57150" distB="57150" distL="57150" distR="57150" simplePos="0" relativeHeight="251661312" behindDoc="1" locked="0" layoutInCell="1" allowOverlap="1" wp14:anchorId="2A81D15B" wp14:editId="514957EA">
          <wp:simplePos x="0" y="0"/>
          <wp:positionH relativeFrom="page">
            <wp:posOffset>2724150</wp:posOffset>
          </wp:positionH>
          <wp:positionV relativeFrom="page">
            <wp:posOffset>10373995</wp:posOffset>
          </wp:positionV>
          <wp:extent cx="533400" cy="16510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A98">
      <w:rPr>
        <w:rFonts w:ascii="Calibri" w:eastAsia="ヒラギノ角ゴ Pro W3" w:hAnsi="Calibri" w:cs="Calibri"/>
        <w:color w:val="000000"/>
        <w:sz w:val="16"/>
        <w:szCs w:val="16"/>
        <w:lang w:val="en-US"/>
      </w:rPr>
      <w:t>Please acknowledge the source if copying.</w:t>
    </w:r>
    <w:r w:rsidRPr="00362499">
      <w:rPr>
        <w:noProof/>
        <w:color w:val="FF0000"/>
        <w:lang w:eastAsia="en-N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3E47" w14:textId="77777777" w:rsidR="00F273B3" w:rsidRDefault="00F273B3" w:rsidP="00362499">
      <w:pPr>
        <w:spacing w:after="0" w:line="240" w:lineRule="auto"/>
      </w:pPr>
      <w:r>
        <w:separator/>
      </w:r>
    </w:p>
  </w:footnote>
  <w:footnote w:type="continuationSeparator" w:id="0">
    <w:p w14:paraId="443D818F" w14:textId="77777777" w:rsidR="00F273B3" w:rsidRDefault="00F273B3" w:rsidP="00362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D4978"/>
    <w:multiLevelType w:val="hybridMultilevel"/>
    <w:tmpl w:val="A316F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E2005"/>
    <w:multiLevelType w:val="hybridMultilevel"/>
    <w:tmpl w:val="40A67E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E2"/>
    <w:rsid w:val="00037C38"/>
    <w:rsid w:val="0005374C"/>
    <w:rsid w:val="00067E13"/>
    <w:rsid w:val="000A2449"/>
    <w:rsid w:val="000F2765"/>
    <w:rsid w:val="001603F6"/>
    <w:rsid w:val="00197EC6"/>
    <w:rsid w:val="00237BDF"/>
    <w:rsid w:val="002A65E2"/>
    <w:rsid w:val="002C05D1"/>
    <w:rsid w:val="00362499"/>
    <w:rsid w:val="00561A33"/>
    <w:rsid w:val="00726BEB"/>
    <w:rsid w:val="00864BE2"/>
    <w:rsid w:val="00875A13"/>
    <w:rsid w:val="00A81938"/>
    <w:rsid w:val="00AD59D3"/>
    <w:rsid w:val="00ED4FD4"/>
    <w:rsid w:val="00F273B3"/>
    <w:rsid w:val="00FD0F4D"/>
    <w:rsid w:val="00F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E921"/>
  <w15:chartTrackingRefBased/>
  <w15:docId w15:val="{9C6926B2-F1A7-461B-B950-F07EFAAB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99"/>
  </w:style>
  <w:style w:type="paragraph" w:styleId="Footer">
    <w:name w:val="footer"/>
    <w:basedOn w:val="Normal"/>
    <w:link w:val="FooterChar"/>
    <w:uiPriority w:val="99"/>
    <w:unhideWhenUsed/>
    <w:rsid w:val="00362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99"/>
  </w:style>
  <w:style w:type="paragraph" w:customStyle="1" w:styleId="credit">
    <w:name w:val="credit"/>
    <w:rsid w:val="00362499"/>
    <w:pPr>
      <w:spacing w:after="0" w:line="200" w:lineRule="atLeast"/>
    </w:pPr>
    <w:rPr>
      <w:rFonts w:ascii="Arial Narrow" w:eastAsia="ヒラギノ角ゴ Pro W3" w:hAnsi="Arial Narrow" w:cs="Times New Roman"/>
      <w:color w:val="000000"/>
      <w:sz w:val="18"/>
      <w:szCs w:val="20"/>
      <w:lang w:val="en-AU"/>
    </w:rPr>
  </w:style>
  <w:style w:type="paragraph" w:customStyle="1" w:styleId="HeaderFooterA">
    <w:name w:val="Header &amp; Footer A"/>
    <w:rsid w:val="00362499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trc.org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Tamaoho05</dc:creator>
  <cp:keywords/>
  <dc:description/>
  <cp:lastModifiedBy>Beth Ogilvie</cp:lastModifiedBy>
  <cp:revision>3</cp:revision>
  <dcterms:created xsi:type="dcterms:W3CDTF">2021-09-21T17:01:00Z</dcterms:created>
  <dcterms:modified xsi:type="dcterms:W3CDTF">2021-09-21T17:02:00Z</dcterms:modified>
</cp:coreProperties>
</file>